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DD6" w:rsidRDefault="0087460A">
      <w:pPr>
        <w:pStyle w:val="Heading3"/>
        <w:keepNext w:val="0"/>
        <w:keepLines w:val="0"/>
        <w:pBdr>
          <w:top w:val="none" w:sz="0" w:space="3" w:color="000000"/>
          <w:left w:val="none" w:sz="0" w:space="6" w:color="000000"/>
          <w:bottom w:val="none" w:sz="0" w:space="0" w:color="000000"/>
          <w:right w:val="none" w:sz="0" w:space="0" w:color="000000"/>
        </w:pBdr>
        <w:spacing w:before="0" w:after="0"/>
        <w:jc w:val="center"/>
        <w:rPr>
          <w:b w:val="0"/>
          <w:sz w:val="24"/>
          <w:szCs w:val="24"/>
        </w:rPr>
      </w:pPr>
      <w:bookmarkStart w:id="0" w:name="_heading=h.r5pko8riimrq" w:colFirst="0" w:colLast="0"/>
      <w:bookmarkEnd w:id="0"/>
      <w:r>
        <w:rPr>
          <w:b w:val="0"/>
          <w:sz w:val="24"/>
          <w:szCs w:val="24"/>
        </w:rPr>
        <w:t>New York University</w:t>
      </w:r>
    </w:p>
    <w:p w:rsidR="00097DD6" w:rsidRPr="00B73F42" w:rsidRDefault="0087460A" w:rsidP="00B73F42">
      <w:pPr>
        <w:pStyle w:val="Heading3"/>
        <w:keepNext w:val="0"/>
        <w:keepLines w:val="0"/>
        <w:pBdr>
          <w:top w:val="none" w:sz="0" w:space="3" w:color="000000"/>
          <w:left w:val="none" w:sz="0" w:space="6" w:color="000000"/>
          <w:bottom w:val="none" w:sz="0" w:space="0" w:color="000000"/>
          <w:right w:val="none" w:sz="0" w:space="0" w:color="000000"/>
        </w:pBdr>
        <w:spacing w:before="0" w:after="0"/>
        <w:jc w:val="center"/>
        <w:rPr>
          <w:b w:val="0"/>
          <w:sz w:val="24"/>
          <w:szCs w:val="24"/>
        </w:rPr>
      </w:pPr>
      <w:r>
        <w:rPr>
          <w:b w:val="0"/>
          <w:sz w:val="24"/>
          <w:szCs w:val="24"/>
        </w:rPr>
        <w:t>Wagner Graduate School of Public Service</w:t>
      </w:r>
      <w:bookmarkStart w:id="1" w:name="_heading=h.l90q38mlgba6" w:colFirst="0" w:colLast="0"/>
      <w:bookmarkEnd w:id="1"/>
    </w:p>
    <w:p w:rsidR="00097DD6" w:rsidRPr="00CF5DF5" w:rsidRDefault="0087460A" w:rsidP="00CF5DF5">
      <w:pPr>
        <w:pStyle w:val="Title"/>
        <w:jc w:val="center"/>
        <w:rPr>
          <w:sz w:val="44"/>
          <w:szCs w:val="44"/>
        </w:rPr>
      </w:pPr>
      <w:bookmarkStart w:id="2" w:name="_heading=h.8u1r48nudrsk" w:colFirst="0" w:colLast="0"/>
      <w:bookmarkEnd w:id="2"/>
      <w:r w:rsidRPr="00CF5DF5">
        <w:rPr>
          <w:sz w:val="44"/>
          <w:szCs w:val="44"/>
        </w:rPr>
        <w:t>Multifaith Leadership in the 21s</w:t>
      </w:r>
      <w:bookmarkStart w:id="3" w:name="_GoBack"/>
      <w:bookmarkEnd w:id="3"/>
      <w:r w:rsidRPr="00CF5DF5">
        <w:rPr>
          <w:sz w:val="44"/>
          <w:szCs w:val="44"/>
        </w:rPr>
        <w:t xml:space="preserve">t Century </w:t>
      </w:r>
      <w:bookmarkStart w:id="4" w:name="_heading=h.1mwr1jbkon42" w:colFirst="0" w:colLast="0"/>
      <w:bookmarkEnd w:id="4"/>
      <w:r w:rsidRPr="00CF5DF5">
        <w:rPr>
          <w:sz w:val="44"/>
          <w:szCs w:val="44"/>
        </w:rPr>
        <w:t>UPADM-GP 254</w:t>
      </w:r>
    </w:p>
    <w:p w:rsidR="00097DD6" w:rsidRDefault="00097DD6">
      <w:pPr>
        <w:pStyle w:val="Heading3"/>
        <w:keepNext w:val="0"/>
        <w:keepLines w:val="0"/>
        <w:pBdr>
          <w:top w:val="none" w:sz="0" w:space="3" w:color="000000"/>
          <w:left w:val="none" w:sz="0" w:space="6" w:color="000000"/>
          <w:bottom w:val="none" w:sz="0" w:space="0" w:color="000000"/>
          <w:right w:val="none" w:sz="0" w:space="0" w:color="000000"/>
        </w:pBdr>
        <w:spacing w:before="0" w:after="0"/>
        <w:rPr>
          <w:sz w:val="24"/>
          <w:szCs w:val="24"/>
        </w:rPr>
      </w:pPr>
    </w:p>
    <w:p w:rsidR="00097DD6" w:rsidRDefault="0087460A" w:rsidP="00CF5DF5">
      <w:pPr>
        <w:pStyle w:val="Heading1"/>
      </w:pPr>
      <w:r>
        <w:t>Spring 2024</w:t>
      </w:r>
    </w:p>
    <w:p w:rsidR="00097DD6" w:rsidRDefault="0087460A">
      <w:r>
        <w:t>Thursdays, 2:00pm-4:30pm</w:t>
      </w:r>
    </w:p>
    <w:p w:rsidR="00097DD6" w:rsidRDefault="0087460A" w:rsidP="00CF5DF5">
      <w:pPr>
        <w:rPr>
          <w:b/>
          <w:color w:val="FF0000"/>
        </w:rPr>
      </w:pPr>
      <w:bookmarkStart w:id="5" w:name="_heading=h.j41kyljp9ern" w:colFirst="0" w:colLast="0"/>
      <w:bookmarkEnd w:id="5"/>
      <w:r>
        <w:t>194 Mercer St Room 306B</w:t>
      </w:r>
    </w:p>
    <w:p w:rsidR="00097DD6" w:rsidRDefault="00097DD6"/>
    <w:p w:rsidR="00097DD6" w:rsidRDefault="0087460A">
      <w:r>
        <w:t xml:space="preserve">Professor Chelsea </w:t>
      </w:r>
      <w:proofErr w:type="spellStart"/>
      <w:r>
        <w:t>Garbell</w:t>
      </w:r>
      <w:proofErr w:type="spellEnd"/>
    </w:p>
    <w:p w:rsidR="00097DD6" w:rsidRDefault="0087460A">
      <w:r>
        <w:t xml:space="preserve">Email: </w:t>
      </w:r>
      <w:hyperlink r:id="rId8">
        <w:r>
          <w:rPr>
            <w:color w:val="1155CC"/>
            <w:u w:val="single"/>
          </w:rPr>
          <w:t>chelsea.garbell@nyu.edu</w:t>
        </w:r>
      </w:hyperlink>
    </w:p>
    <w:p w:rsidR="00097DD6" w:rsidRDefault="0087460A" w:rsidP="00CF5DF5">
      <w:pPr>
        <w:rPr>
          <w:b/>
        </w:rPr>
      </w:pPr>
      <w:r>
        <w:t>Office: 238 Thompson Street, Suite 491</w:t>
      </w:r>
    </w:p>
    <w:p w:rsidR="00097DD6" w:rsidRDefault="00097DD6" w:rsidP="00CF5DF5">
      <w:bookmarkStart w:id="6" w:name="_heading=h.8kjcczb6fgp3" w:colFirst="0" w:colLast="0"/>
      <w:bookmarkEnd w:id="6"/>
    </w:p>
    <w:p w:rsidR="00097DD6" w:rsidRPr="00CF5DF5" w:rsidRDefault="0087460A">
      <w:pPr>
        <w:rPr>
          <w:b/>
        </w:rPr>
      </w:pPr>
      <w:bookmarkStart w:id="7" w:name="_heading=h.jmevikikoiid" w:colFirst="0" w:colLast="0"/>
      <w:bookmarkEnd w:id="7"/>
      <w:r>
        <w:t>Office Hours: Thursdays 12-1pm, and by appointment</w:t>
      </w:r>
    </w:p>
    <w:p w:rsidR="00097DD6" w:rsidRDefault="0087460A" w:rsidP="00CF5DF5">
      <w:pPr>
        <w:pStyle w:val="Heading1"/>
      </w:pPr>
      <w:bookmarkStart w:id="8" w:name="_heading=h.t47h2fnsg36x" w:colFirst="0" w:colLast="0"/>
      <w:bookmarkEnd w:id="8"/>
      <w:r>
        <w:t>Course Description and Objectives:</w:t>
      </w:r>
    </w:p>
    <w:p w:rsidR="00097DD6" w:rsidRDefault="0087460A">
      <w:pPr>
        <w:spacing w:line="276" w:lineRule="auto"/>
        <w:rPr>
          <w:rFonts w:ascii="Arial" w:eastAsia="Arial" w:hAnsi="Arial" w:cs="Arial"/>
          <w:sz w:val="21"/>
          <w:szCs w:val="21"/>
          <w:highlight w:val="white"/>
        </w:rPr>
      </w:pPr>
      <w:r>
        <w:t>In the context of an increasingly polarized American soci</w:t>
      </w:r>
      <w:r>
        <w:t>ety, this course seeks to train students to mobilize diverse faith communities together for the greater good. Unleashing the power of their own story, students will articulate their values and explore the ways it can be shared. The course will draw on case</w:t>
      </w:r>
      <w:r>
        <w:t xml:space="preserve"> studies from historical and contemporary faith leaders who have achieved success in creating sustainable change, as well as interrogating relevant current affairs as they arise. Students will learn to recognize how stories are used to motivate action, to </w:t>
      </w:r>
      <w:r>
        <w:t xml:space="preserve">recognize the ways that race, power and privilege play a role in elevating and downplaying stories and to identify the role values play in motivating action. </w:t>
      </w:r>
    </w:p>
    <w:p w:rsidR="00097DD6" w:rsidRDefault="00097DD6">
      <w:pPr>
        <w:spacing w:line="276" w:lineRule="auto"/>
        <w:rPr>
          <w:rFonts w:ascii="Arial" w:eastAsia="Arial" w:hAnsi="Arial" w:cs="Arial"/>
          <w:sz w:val="21"/>
          <w:szCs w:val="21"/>
          <w:highlight w:val="white"/>
        </w:rPr>
      </w:pPr>
    </w:p>
    <w:p w:rsidR="00097DD6" w:rsidRDefault="0087460A">
      <w:r>
        <w:rPr>
          <w:b/>
        </w:rPr>
        <w:t>Shared Agreements:</w:t>
      </w:r>
      <w:r>
        <w:t xml:space="preserve"> I approach each class, student, and topic as an invitation to be present with</w:t>
      </w:r>
      <w:r>
        <w:t xml:space="preserve"> candor, curiosity, compassion, and care. Please join me in this invitation. </w:t>
      </w:r>
    </w:p>
    <w:p w:rsidR="00097DD6" w:rsidRDefault="0087460A" w:rsidP="00CF5DF5">
      <w:pPr>
        <w:pStyle w:val="Heading1"/>
      </w:pPr>
      <w:r>
        <w:t>Course Requirements</w:t>
      </w:r>
    </w:p>
    <w:p w:rsidR="00097DD6" w:rsidRPr="00CF5DF5" w:rsidRDefault="0087460A" w:rsidP="00CF5DF5">
      <w:pPr>
        <w:pStyle w:val="Heading2"/>
      </w:pPr>
      <w:r>
        <w:t>Required texts</w:t>
      </w:r>
    </w:p>
    <w:p w:rsidR="00097DD6" w:rsidRDefault="0087460A">
      <w:pPr>
        <w:spacing w:before="240" w:after="240"/>
      </w:pPr>
      <w:r>
        <w:t>P</w:t>
      </w:r>
      <w:r>
        <w:t xml:space="preserve">atel, E. (2016). </w:t>
      </w:r>
      <w:r>
        <w:rPr>
          <w:i/>
        </w:rPr>
        <w:t>Interfaith leadership: A Primer</w:t>
      </w:r>
      <w:r>
        <w:t xml:space="preserve">. Beacon Press. </w:t>
      </w:r>
    </w:p>
    <w:p w:rsidR="00097DD6" w:rsidRDefault="0087460A">
      <w:pPr>
        <w:rPr>
          <w:i/>
        </w:rPr>
      </w:pPr>
      <w:r>
        <w:t xml:space="preserve">Peace, J. H., Rose, O. N., &amp; Mobley, G. (Eds.). (2014). </w:t>
      </w:r>
      <w:r>
        <w:rPr>
          <w:i/>
        </w:rPr>
        <w:t xml:space="preserve">My neighbor’s faith: Stories of </w:t>
      </w:r>
    </w:p>
    <w:p w:rsidR="00097DD6" w:rsidRPr="00CF5DF5" w:rsidRDefault="0087460A" w:rsidP="00CF5DF5">
      <w:pPr>
        <w:ind w:firstLine="720"/>
        <w:rPr>
          <w:color w:val="FF0000"/>
        </w:rPr>
      </w:pPr>
      <w:r>
        <w:rPr>
          <w:i/>
        </w:rPr>
        <w:t>interreligious encounter, growth, and transformation</w:t>
      </w:r>
      <w:r>
        <w:t xml:space="preserve">. Orbis Books. </w:t>
      </w:r>
    </w:p>
    <w:p w:rsidR="00CF5DF5" w:rsidRDefault="0087460A">
      <w:pPr>
        <w:rPr>
          <w:b/>
          <w:i/>
        </w:rPr>
      </w:pPr>
      <w:r>
        <w:lastRenderedPageBreak/>
        <w:t>All other readings will be listed in Resources on Brightspace or sent via email. Our class discussions will be based on the assigned readings and will be much richer if you come prepared.</w:t>
      </w:r>
    </w:p>
    <w:p w:rsidR="00097DD6" w:rsidRPr="00CF5DF5" w:rsidRDefault="0087460A" w:rsidP="00CF5DF5">
      <w:pPr>
        <w:pStyle w:val="Heading2"/>
      </w:pPr>
      <w:r>
        <w:t>Weekly Readings &amp; Responses</w:t>
      </w:r>
    </w:p>
    <w:p w:rsidR="00097DD6" w:rsidRDefault="00097DD6"/>
    <w:p w:rsidR="00097DD6" w:rsidRPr="00CF5DF5" w:rsidRDefault="0087460A">
      <w:r>
        <w:t>Each week students will post a re</w:t>
      </w:r>
      <w:r>
        <w:t xml:space="preserve">sponse to the readings and a question for further consideration in the Discussion Section of Brightspace. In addition to your own post, you will respond to the question posed by a colleague. </w:t>
      </w:r>
    </w:p>
    <w:p w:rsidR="00097DD6" w:rsidRDefault="0087460A" w:rsidP="00CF5DF5">
      <w:pPr>
        <w:pStyle w:val="Heading2"/>
      </w:pPr>
      <w:r>
        <w:t>Discussion Leaders</w:t>
      </w:r>
    </w:p>
    <w:p w:rsidR="00097DD6" w:rsidRDefault="00097DD6">
      <w:pPr>
        <w:rPr>
          <w:b/>
          <w:i/>
        </w:rPr>
      </w:pPr>
    </w:p>
    <w:p w:rsidR="00097DD6" w:rsidRPr="00CF5DF5" w:rsidRDefault="0087460A" w:rsidP="00CF5DF5">
      <w:r>
        <w:t>Each week, two students will lead part of t</w:t>
      </w:r>
      <w:r>
        <w:t xml:space="preserve">he class discussion, bringing questions from the readings to direct the conversation. </w:t>
      </w:r>
    </w:p>
    <w:p w:rsidR="00097DD6" w:rsidRDefault="0087460A" w:rsidP="00CF5DF5">
      <w:pPr>
        <w:pStyle w:val="Heading2"/>
      </w:pPr>
      <w:r>
        <w:t>Assignments</w:t>
      </w:r>
    </w:p>
    <w:p w:rsidR="00097DD6" w:rsidRDefault="00097DD6">
      <w:pPr>
        <w:pBdr>
          <w:top w:val="nil"/>
          <w:left w:val="nil"/>
          <w:bottom w:val="nil"/>
          <w:right w:val="nil"/>
          <w:between w:val="nil"/>
        </w:pBdr>
      </w:pPr>
    </w:p>
    <w:p w:rsidR="00097DD6" w:rsidRDefault="0087460A">
      <w:pPr>
        <w:numPr>
          <w:ilvl w:val="0"/>
          <w:numId w:val="2"/>
        </w:numPr>
        <w:pBdr>
          <w:top w:val="nil"/>
          <w:left w:val="nil"/>
          <w:bottom w:val="nil"/>
          <w:right w:val="nil"/>
          <w:between w:val="nil"/>
        </w:pBdr>
      </w:pPr>
      <w:r>
        <w:rPr>
          <w:b/>
        </w:rPr>
        <w:t>About Me</w:t>
      </w:r>
    </w:p>
    <w:p w:rsidR="00097DD6" w:rsidRDefault="0087460A">
      <w:pPr>
        <w:numPr>
          <w:ilvl w:val="1"/>
          <w:numId w:val="2"/>
        </w:numPr>
        <w:pBdr>
          <w:top w:val="nil"/>
          <w:left w:val="nil"/>
          <w:bottom w:val="nil"/>
          <w:right w:val="nil"/>
          <w:between w:val="nil"/>
        </w:pBdr>
      </w:pPr>
      <w:r>
        <w:t xml:space="preserve">Submit a paragraph sharing a bit about yourself or anything you’d like me to know. </w:t>
      </w:r>
    </w:p>
    <w:p w:rsidR="00097DD6" w:rsidRDefault="0087460A">
      <w:pPr>
        <w:numPr>
          <w:ilvl w:val="0"/>
          <w:numId w:val="2"/>
        </w:numPr>
        <w:pBdr>
          <w:top w:val="nil"/>
          <w:left w:val="nil"/>
          <w:bottom w:val="nil"/>
          <w:right w:val="nil"/>
          <w:between w:val="nil"/>
        </w:pBdr>
        <w:rPr>
          <w:b/>
        </w:rPr>
      </w:pPr>
      <w:r>
        <w:rPr>
          <w:b/>
        </w:rPr>
        <w:t>Paper 1: Story of Faith</w:t>
      </w:r>
    </w:p>
    <w:p w:rsidR="00097DD6" w:rsidRDefault="0087460A">
      <w:pPr>
        <w:numPr>
          <w:ilvl w:val="1"/>
          <w:numId w:val="2"/>
        </w:numPr>
      </w:pPr>
      <w:r>
        <w:t>To be discussed in class. 3-4 pages in length.</w:t>
      </w:r>
    </w:p>
    <w:p w:rsidR="00097DD6" w:rsidRDefault="0087460A">
      <w:pPr>
        <w:numPr>
          <w:ilvl w:val="0"/>
          <w:numId w:val="2"/>
        </w:numPr>
      </w:pPr>
      <w:r>
        <w:rPr>
          <w:b/>
        </w:rPr>
        <w:t xml:space="preserve">Paper 2: Spiritual Ethnography </w:t>
      </w:r>
    </w:p>
    <w:p w:rsidR="00097DD6" w:rsidRDefault="0087460A">
      <w:pPr>
        <w:numPr>
          <w:ilvl w:val="1"/>
          <w:numId w:val="2"/>
        </w:numPr>
      </w:pPr>
      <w:r>
        <w:t xml:space="preserve">To be discussed in class. 3-4 pages in length. </w:t>
      </w:r>
    </w:p>
    <w:p w:rsidR="00097DD6" w:rsidRDefault="0087460A">
      <w:pPr>
        <w:numPr>
          <w:ilvl w:val="0"/>
          <w:numId w:val="2"/>
        </w:numPr>
        <w:pBdr>
          <w:top w:val="nil"/>
          <w:left w:val="nil"/>
          <w:bottom w:val="nil"/>
          <w:right w:val="nil"/>
          <w:between w:val="nil"/>
        </w:pBdr>
        <w:rPr>
          <w:b/>
        </w:rPr>
      </w:pPr>
      <w:r>
        <w:rPr>
          <w:b/>
        </w:rPr>
        <w:t xml:space="preserve">Paper 3: Interfaith Theology/Ethic </w:t>
      </w:r>
    </w:p>
    <w:p w:rsidR="00097DD6" w:rsidRDefault="0087460A">
      <w:pPr>
        <w:numPr>
          <w:ilvl w:val="1"/>
          <w:numId w:val="2"/>
        </w:numPr>
      </w:pPr>
      <w:r>
        <w:t xml:space="preserve">To be discussed in class. 3-4 pages in length. </w:t>
      </w:r>
    </w:p>
    <w:p w:rsidR="00097DD6" w:rsidRDefault="0087460A">
      <w:pPr>
        <w:numPr>
          <w:ilvl w:val="0"/>
          <w:numId w:val="2"/>
        </w:numPr>
        <w:pBdr>
          <w:top w:val="nil"/>
          <w:left w:val="nil"/>
          <w:bottom w:val="nil"/>
          <w:right w:val="nil"/>
          <w:between w:val="nil"/>
        </w:pBdr>
        <w:rPr>
          <w:b/>
        </w:rPr>
      </w:pPr>
      <w:r>
        <w:rPr>
          <w:b/>
        </w:rPr>
        <w:t>Final Presentation: Public Narrative</w:t>
      </w:r>
    </w:p>
    <w:p w:rsidR="00097DD6" w:rsidRDefault="0087460A" w:rsidP="00CF5DF5">
      <w:pPr>
        <w:numPr>
          <w:ilvl w:val="1"/>
          <w:numId w:val="2"/>
        </w:numPr>
        <w:pBdr>
          <w:top w:val="nil"/>
          <w:left w:val="nil"/>
          <w:bottom w:val="nil"/>
          <w:right w:val="nil"/>
          <w:between w:val="nil"/>
        </w:pBdr>
      </w:pPr>
      <w:r>
        <w:t>To be di</w:t>
      </w:r>
      <w:r>
        <w:t xml:space="preserve">scussed in class. </w:t>
      </w:r>
      <w:proofErr w:type="gramStart"/>
      <w:r>
        <w:t>5 minute</w:t>
      </w:r>
      <w:proofErr w:type="gramEnd"/>
      <w:r>
        <w:t xml:space="preserve"> presentation. </w:t>
      </w:r>
    </w:p>
    <w:p w:rsidR="00097DD6" w:rsidRDefault="0087460A" w:rsidP="00CF5DF5">
      <w:pPr>
        <w:pStyle w:val="Heading1"/>
      </w:pPr>
      <w:r>
        <w:t>Assignments and Grading</w:t>
      </w:r>
    </w:p>
    <w:p w:rsidR="00097DD6" w:rsidRDefault="0087460A">
      <w:r>
        <w:t>Attendance, Participation, Discussion Facilitation</w:t>
      </w:r>
      <w:r>
        <w:tab/>
        <w:t>30%</w:t>
      </w:r>
    </w:p>
    <w:p w:rsidR="00097DD6" w:rsidRDefault="0087460A">
      <w:r>
        <w:t>Paper 1</w:t>
      </w:r>
      <w:r w:rsidR="00CF5DF5">
        <w:t xml:space="preserve"> </w:t>
      </w:r>
      <w:r>
        <w:t>20%</w:t>
      </w:r>
    </w:p>
    <w:p w:rsidR="00097DD6" w:rsidRDefault="0087460A">
      <w:r>
        <w:t>Paper 2</w:t>
      </w:r>
      <w:r w:rsidR="00CF5DF5">
        <w:t xml:space="preserve"> </w:t>
      </w:r>
      <w:r>
        <w:t>20%</w:t>
      </w:r>
    </w:p>
    <w:p w:rsidR="00097DD6" w:rsidRDefault="0087460A">
      <w:r>
        <w:t>Paper 3</w:t>
      </w:r>
      <w:r w:rsidR="00CF5DF5">
        <w:t xml:space="preserve"> </w:t>
      </w:r>
      <w:r>
        <w:t xml:space="preserve">20% </w:t>
      </w:r>
    </w:p>
    <w:p w:rsidR="00097DD6" w:rsidRPr="00CF5DF5" w:rsidRDefault="0087460A">
      <w:r>
        <w:t>Final Presentation</w:t>
      </w:r>
      <w:r w:rsidR="00CF5DF5">
        <w:t xml:space="preserve"> </w:t>
      </w:r>
      <w:r>
        <w:t>10%</w:t>
      </w:r>
    </w:p>
    <w:p w:rsidR="00097DD6" w:rsidRDefault="0087460A" w:rsidP="00CF5DF5">
      <w:pPr>
        <w:pStyle w:val="Heading1"/>
      </w:pPr>
      <w:r>
        <w:t>Attendance Policy</w:t>
      </w:r>
    </w:p>
    <w:p w:rsidR="00097DD6" w:rsidRPr="00CF5DF5" w:rsidRDefault="0087460A">
      <w:pPr>
        <w:jc w:val="both"/>
      </w:pPr>
      <w:r>
        <w:t>It is of utmost importance that students attend class consistently, and this is reflected in the grading rubric. If you need to miss class for any reason, please let me know as soon as possible, and we will discuss reasonable accommodations. Regular unexcu</w:t>
      </w:r>
      <w:r>
        <w:t>sed absences will have an impact on your final grade.</w:t>
      </w:r>
    </w:p>
    <w:p w:rsidR="00097DD6" w:rsidRDefault="0087460A" w:rsidP="00CF5DF5">
      <w:pPr>
        <w:pStyle w:val="Heading1"/>
      </w:pPr>
      <w:r>
        <w:lastRenderedPageBreak/>
        <w:t>AI Policy</w:t>
      </w:r>
    </w:p>
    <w:p w:rsidR="00097DD6" w:rsidRDefault="0087460A">
      <w:pPr>
        <w:jc w:val="both"/>
        <w:rPr>
          <w:rFonts w:ascii="Roboto" w:eastAsia="Roboto" w:hAnsi="Roboto" w:cs="Roboto"/>
          <w:sz w:val="22"/>
          <w:szCs w:val="22"/>
        </w:rPr>
      </w:pPr>
      <w:r>
        <w:t>Since personal reflection and critical thinking are part of the learning outcomes of this course, all writing assignments should be prepared by the student. AI may not play a role in your ide</w:t>
      </w:r>
      <w:r>
        <w:t xml:space="preserve">ation, and you may not submit any work generated by an AI program as your own. Doing so will be treated as plagiarism. </w:t>
      </w:r>
    </w:p>
    <w:p w:rsidR="00097DD6" w:rsidRDefault="00097DD6"/>
    <w:p w:rsidR="00097DD6" w:rsidRDefault="0087460A">
      <w:pPr>
        <w:pStyle w:val="Heading2"/>
        <w:keepNext w:val="0"/>
        <w:keepLines w:val="0"/>
        <w:spacing w:before="0" w:after="0"/>
        <w:rPr>
          <w:szCs w:val="24"/>
        </w:rPr>
      </w:pPr>
      <w:bookmarkStart w:id="9" w:name="_heading=h.6snz0zzdac7j" w:colFirst="0" w:colLast="0"/>
      <w:bookmarkEnd w:id="9"/>
      <w:r>
        <w:rPr>
          <w:szCs w:val="24"/>
        </w:rPr>
        <w:t>Henry and Lucy Moses Center for Students with Disabilities at NYU</w:t>
      </w:r>
    </w:p>
    <w:p w:rsidR="00097DD6" w:rsidRDefault="0087460A">
      <w:r>
        <w:t>Academic accommodations are available for students with disabilities.</w:t>
      </w:r>
      <w:r>
        <w:t xml:space="preserve"> Please visit the </w:t>
      </w:r>
      <w:hyperlink r:id="rId9">
        <w:r>
          <w:rPr>
            <w:color w:val="1155CC"/>
            <w:u w:val="single"/>
          </w:rPr>
          <w:t>Moses Center for Students with Disabilities (CSD) website</w:t>
        </w:r>
      </w:hyperlink>
      <w:r>
        <w:t xml:space="preserve"> and click on the Reasonable Accommodations and How to Register tab or call or email CSD at (212-998-4980 or mosescsd@nyu.edu) for information. Students who are requesting academic accommodations are strongly advised to reach out to the Moses Center as ear</w:t>
      </w:r>
      <w:r>
        <w:t>ly as possible in the semester for assistance.</w:t>
      </w:r>
    </w:p>
    <w:p w:rsidR="00097DD6" w:rsidRDefault="00097DD6">
      <w:pPr>
        <w:pStyle w:val="Heading2"/>
        <w:keepNext w:val="0"/>
        <w:keepLines w:val="0"/>
        <w:spacing w:before="0" w:after="0"/>
        <w:rPr>
          <w:szCs w:val="24"/>
        </w:rPr>
      </w:pPr>
      <w:bookmarkStart w:id="10" w:name="_heading=h.jvx7x4i1h19c" w:colFirst="0" w:colLast="0"/>
      <w:bookmarkEnd w:id="10"/>
    </w:p>
    <w:p w:rsidR="00097DD6" w:rsidRDefault="0087460A">
      <w:pPr>
        <w:pStyle w:val="Heading2"/>
        <w:keepNext w:val="0"/>
        <w:keepLines w:val="0"/>
        <w:spacing w:before="0" w:after="0"/>
        <w:rPr>
          <w:szCs w:val="24"/>
        </w:rPr>
      </w:pPr>
      <w:bookmarkStart w:id="11" w:name="_heading=h.l6d428sh2hy8" w:colFirst="0" w:colLast="0"/>
      <w:bookmarkEnd w:id="11"/>
      <w:r>
        <w:rPr>
          <w:szCs w:val="24"/>
        </w:rPr>
        <w:t>NYU’s Calendar Policy on Religious Holidays</w:t>
      </w:r>
    </w:p>
    <w:p w:rsidR="00097DD6" w:rsidRDefault="0087460A">
      <w:pPr>
        <w:rPr>
          <w:b/>
        </w:rPr>
      </w:pPr>
      <w:hyperlink r:id="rId10">
        <w:r>
          <w:rPr>
            <w:color w:val="1155CC"/>
            <w:u w:val="single"/>
          </w:rPr>
          <w:t>NYU’s Cale</w:t>
        </w:r>
        <w:r>
          <w:rPr>
            <w:color w:val="1155CC"/>
            <w:u w:val="single"/>
          </w:rPr>
          <w:t>ndar Policy on Religious Holidays</w:t>
        </w:r>
      </w:hyperlink>
      <w:r>
        <w:t xml:space="preserve"> states that members of any religious group may, without penalty, miss class when required in compliance with their religious obligations. Please notify me in advance of religious holidays and/or observances that might coin</w:t>
      </w:r>
      <w:r>
        <w:t>cide with exams, assignments, or class times to schedule mutually acceptable alternatives.</w:t>
      </w:r>
    </w:p>
    <w:p w:rsidR="00097DD6" w:rsidRDefault="0087460A" w:rsidP="00CF5DF5">
      <w:pPr>
        <w:pStyle w:val="Heading1"/>
      </w:pPr>
      <w:r>
        <w:t>Wellness Resources:</w:t>
      </w:r>
    </w:p>
    <w:p w:rsidR="00097DD6" w:rsidRDefault="0087460A">
      <w:r>
        <w:t>As a University student, you may experience a range of issues that can interfere with your</w:t>
      </w:r>
    </w:p>
    <w:p w:rsidR="00097DD6" w:rsidRDefault="0087460A">
      <w:r>
        <w:t xml:space="preserve">ability to perform academically or impact your daily </w:t>
      </w:r>
      <w:r>
        <w:t>functioning, such as heightened stress,</w:t>
      </w:r>
    </w:p>
    <w:p w:rsidR="00097DD6" w:rsidRDefault="0087460A">
      <w:r>
        <w:t>anxiety, difficulty concentrating, sleep disturbance, strained relationships, grief and loss,</w:t>
      </w:r>
    </w:p>
    <w:p w:rsidR="00097DD6" w:rsidRPr="00CF5DF5" w:rsidRDefault="0087460A" w:rsidP="00CF5DF5">
      <w:r>
        <w:t xml:space="preserve">personal struggles. If you have any well-being or mental health concerns please utilize the Wellness Exchange. You can call the 24-hour hotline at </w:t>
      </w:r>
      <w:r>
        <w:rPr>
          <w:b/>
        </w:rPr>
        <w:t>(212) 443-9999</w:t>
      </w:r>
      <w:r>
        <w:t>, chat via the Wellness Exchange app anytime,</w:t>
      </w:r>
      <w:r>
        <w:rPr>
          <w:color w:val="404040"/>
        </w:rPr>
        <w:t xml:space="preserve"> </w:t>
      </w:r>
      <w:hyperlink r:id="rId11">
        <w:r>
          <w:rPr>
            <w:color w:val="1155CC"/>
            <w:u w:val="single"/>
          </w:rPr>
          <w:t>make an appointment</w:t>
        </w:r>
      </w:hyperlink>
      <w:r>
        <w:rPr>
          <w:color w:val="1155CC"/>
          <w:u w:val="single"/>
        </w:rPr>
        <w:t>,</w:t>
      </w:r>
      <w:r>
        <w:rPr>
          <w:color w:val="404040"/>
        </w:rPr>
        <w:t xml:space="preserve"> </w:t>
      </w:r>
      <w:r>
        <w:t xml:space="preserve">or arrange a </w:t>
      </w:r>
      <w:hyperlink r:id="rId12">
        <w:r>
          <w:rPr>
            <w:color w:val="1155CC"/>
            <w:u w:val="single"/>
          </w:rPr>
          <w:t>same-day Urgent Counseling session</w:t>
        </w:r>
      </w:hyperlink>
      <w:r>
        <w:rPr>
          <w:color w:val="404040"/>
          <w:u w:val="single"/>
        </w:rPr>
        <w:t xml:space="preserve"> </w:t>
      </w:r>
      <w:r>
        <w:t>to speak with a certified counselor about any day-to-day challenges or health concerns, including medical issues, stress, depression, sexual assault, anxiety, alcohol or drug dependence, and eating disorders. Furthermo</w:t>
      </w:r>
      <w:r>
        <w:t>re, please approach me if you feel comfortable doing so. This will enable me to provide any resources or accommodations that I can.</w:t>
      </w:r>
    </w:p>
    <w:p w:rsidR="00097DD6" w:rsidRDefault="0087460A" w:rsidP="00CF5DF5">
      <w:pPr>
        <w:pStyle w:val="Heading1"/>
      </w:pPr>
      <w:r>
        <w:t>Course Outline</w:t>
      </w:r>
      <w:r>
        <w:t>:</w:t>
      </w:r>
    </w:p>
    <w:p w:rsidR="00097DD6" w:rsidRDefault="00097DD6">
      <w:pPr>
        <w:pBdr>
          <w:top w:val="nil"/>
          <w:left w:val="nil"/>
          <w:bottom w:val="nil"/>
          <w:right w:val="nil"/>
          <w:between w:val="nil"/>
        </w:pBdr>
      </w:pPr>
    </w:p>
    <w:tbl>
      <w:tblPr>
        <w:tblStyle w:val="a0"/>
        <w:tblW w:w="9375"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1005"/>
        <w:gridCol w:w="2775"/>
        <w:gridCol w:w="5595"/>
      </w:tblGrid>
      <w:tr w:rsidR="00097DD6" w:rsidTr="00CF5DF5">
        <w:trPr>
          <w:trHeight w:val="3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pBdr>
                <w:top w:val="nil"/>
                <w:left w:val="nil"/>
                <w:bottom w:val="nil"/>
                <w:right w:val="nil"/>
                <w:between w:val="nil"/>
              </w:pBdr>
              <w:rPr>
                <w:color w:val="222222"/>
              </w:rPr>
            </w:pPr>
            <w:r>
              <w:rPr>
                <w:b/>
                <w:color w:val="222222"/>
                <w:highlight w:val="white"/>
              </w:rPr>
              <w:t>Date</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pBdr>
                <w:top w:val="nil"/>
                <w:left w:val="nil"/>
                <w:bottom w:val="nil"/>
                <w:right w:val="nil"/>
                <w:between w:val="nil"/>
              </w:pBdr>
              <w:rPr>
                <w:color w:val="000000"/>
              </w:rPr>
            </w:pPr>
            <w:r>
              <w:rPr>
                <w:b/>
                <w:color w:val="000000"/>
                <w:highlight w:val="white"/>
              </w:rPr>
              <w:t>Class Topic</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pBdr>
                <w:top w:val="nil"/>
                <w:left w:val="nil"/>
                <w:bottom w:val="nil"/>
                <w:right w:val="nil"/>
                <w:between w:val="nil"/>
              </w:pBdr>
              <w:rPr>
                <w:color w:val="000000"/>
              </w:rPr>
            </w:pPr>
            <w:r>
              <w:rPr>
                <w:b/>
                <w:color w:val="000000"/>
                <w:highlight w:val="white"/>
              </w:rPr>
              <w:t>Readings (Due by corresponding class)</w:t>
            </w:r>
          </w:p>
        </w:tc>
      </w:tr>
      <w:tr w:rsidR="00097DD6" w:rsidTr="00CF5DF5">
        <w:trPr>
          <w:trHeight w:val="3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pBdr>
                <w:top w:val="nil"/>
                <w:left w:val="nil"/>
                <w:bottom w:val="nil"/>
                <w:right w:val="nil"/>
                <w:between w:val="nil"/>
              </w:pBdr>
              <w:jc w:val="center"/>
              <w:rPr>
                <w:color w:val="000000"/>
              </w:rPr>
            </w:pPr>
            <w:r>
              <w:t>1/25</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pBdr>
                <w:top w:val="nil"/>
                <w:left w:val="nil"/>
                <w:bottom w:val="nil"/>
                <w:right w:val="nil"/>
                <w:between w:val="nil"/>
              </w:pBdr>
              <w:rPr>
                <w:color w:val="000000"/>
              </w:rPr>
            </w:pPr>
            <w:r>
              <w:rPr>
                <w:color w:val="000000"/>
                <w:highlight w:val="white"/>
              </w:rPr>
              <w:t xml:space="preserve">Introduction </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numPr>
                <w:ilvl w:val="0"/>
                <w:numId w:val="11"/>
              </w:numPr>
              <w:rPr>
                <w:highlight w:val="white"/>
              </w:rPr>
            </w:pPr>
            <w:r>
              <w:rPr>
                <w:highlight w:val="white"/>
              </w:rPr>
              <w:t>Review of Syllabus</w:t>
            </w:r>
          </w:p>
          <w:p w:rsidR="00097DD6" w:rsidRDefault="0087460A">
            <w:pPr>
              <w:numPr>
                <w:ilvl w:val="0"/>
                <w:numId w:val="11"/>
              </w:numPr>
              <w:rPr>
                <w:highlight w:val="white"/>
              </w:rPr>
            </w:pPr>
            <w:hyperlink r:id="rId13">
              <w:r>
                <w:rPr>
                  <w:color w:val="1155CC"/>
                  <w:highlight w:val="white"/>
                  <w:u w:val="single"/>
                </w:rPr>
                <w:t xml:space="preserve">What Leaders Really Do </w:t>
              </w:r>
            </w:hyperlink>
          </w:p>
        </w:tc>
      </w:tr>
      <w:tr w:rsidR="00097DD6" w:rsidTr="00CF5DF5">
        <w:trPr>
          <w:trHeight w:val="108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pBdr>
                <w:top w:val="nil"/>
                <w:left w:val="nil"/>
                <w:bottom w:val="nil"/>
                <w:right w:val="nil"/>
                <w:between w:val="nil"/>
              </w:pBdr>
              <w:jc w:val="center"/>
              <w:rPr>
                <w:color w:val="000000"/>
              </w:rPr>
            </w:pPr>
            <w:r>
              <w:t>2/1</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pBdr>
                <w:top w:val="nil"/>
                <w:left w:val="nil"/>
                <w:bottom w:val="nil"/>
                <w:right w:val="nil"/>
                <w:between w:val="nil"/>
              </w:pBdr>
              <w:rPr>
                <w:color w:val="000000"/>
              </w:rPr>
            </w:pPr>
            <w:r>
              <w:t xml:space="preserve">Narrative Identity </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097DD6">
            <w:pPr>
              <w:numPr>
                <w:ilvl w:val="0"/>
                <w:numId w:val="4"/>
              </w:numPr>
              <w:spacing w:line="276" w:lineRule="auto"/>
              <w:rPr>
                <w:highlight w:val="white"/>
              </w:rPr>
            </w:pPr>
          </w:p>
          <w:p w:rsidR="00097DD6" w:rsidRDefault="0087460A">
            <w:pPr>
              <w:numPr>
                <w:ilvl w:val="0"/>
                <w:numId w:val="4"/>
              </w:numPr>
              <w:spacing w:line="276" w:lineRule="auto"/>
              <w:rPr>
                <w:highlight w:val="white"/>
              </w:rPr>
            </w:pPr>
            <w:hyperlink r:id="rId14">
              <w:r>
                <w:rPr>
                  <w:color w:val="1155CC"/>
                  <w:highlight w:val="white"/>
                  <w:u w:val="single"/>
                </w:rPr>
                <w:t xml:space="preserve">Paul </w:t>
              </w:r>
              <w:proofErr w:type="spellStart"/>
              <w:r>
                <w:rPr>
                  <w:color w:val="1155CC"/>
                  <w:highlight w:val="white"/>
                  <w:u w:val="single"/>
                </w:rPr>
                <w:t>Ricoeur</w:t>
              </w:r>
              <w:proofErr w:type="spellEnd"/>
              <w:r>
                <w:rPr>
                  <w:color w:val="1155CC"/>
                  <w:highlight w:val="white"/>
                  <w:u w:val="single"/>
                </w:rPr>
                <w:t xml:space="preserve"> on </w:t>
              </w:r>
              <w:proofErr w:type="spellStart"/>
              <w:r>
                <w:rPr>
                  <w:color w:val="1155CC"/>
                  <w:highlight w:val="white"/>
                  <w:u w:val="single"/>
                </w:rPr>
                <w:t>Refigurative</w:t>
              </w:r>
              <w:proofErr w:type="spellEnd"/>
              <w:r>
                <w:rPr>
                  <w:color w:val="1155CC"/>
                  <w:highlight w:val="white"/>
                  <w:u w:val="single"/>
                </w:rPr>
                <w:t xml:space="preserve"> Reading and Narrative Identity</w:t>
              </w:r>
            </w:hyperlink>
          </w:p>
        </w:tc>
      </w:tr>
      <w:tr w:rsidR="00097DD6" w:rsidTr="00CF5DF5">
        <w:trPr>
          <w:trHeight w:val="129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jc w:val="center"/>
              <w:rPr>
                <w:highlight w:val="white"/>
              </w:rPr>
            </w:pPr>
            <w:r>
              <w:rPr>
                <w:highlight w:val="white"/>
              </w:rPr>
              <w:lastRenderedPageBreak/>
              <w:t>2/8</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r>
              <w:t>Story of Self Workshop</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numPr>
                <w:ilvl w:val="0"/>
                <w:numId w:val="4"/>
              </w:numPr>
              <w:spacing w:line="276" w:lineRule="auto"/>
              <w:rPr>
                <w:highlight w:val="white"/>
              </w:rPr>
            </w:pPr>
            <w:r>
              <w:rPr>
                <w:i/>
                <w:highlight w:val="white"/>
              </w:rPr>
              <w:t>Interfaith Leadership</w:t>
            </w:r>
            <w:r>
              <w:rPr>
                <w:highlight w:val="white"/>
              </w:rPr>
              <w:t>, pp.1-37</w:t>
            </w:r>
          </w:p>
          <w:p w:rsidR="00097DD6" w:rsidRDefault="0087460A">
            <w:pPr>
              <w:numPr>
                <w:ilvl w:val="0"/>
                <w:numId w:val="6"/>
              </w:numPr>
            </w:pPr>
            <w:r>
              <w:t>Marshall Ganz,</w:t>
            </w:r>
            <w:hyperlink r:id="rId15">
              <w:r>
                <w:rPr>
                  <w:color w:val="1155CC"/>
                  <w:u w:val="single"/>
                </w:rPr>
                <w:t xml:space="preserve"> What Is Public Narrative: Self, Us &amp; Now</w:t>
              </w:r>
            </w:hyperlink>
            <w:r>
              <w:t xml:space="preserve"> (2009)</w:t>
            </w:r>
          </w:p>
          <w:p w:rsidR="00097DD6" w:rsidRDefault="0087460A">
            <w:pPr>
              <w:numPr>
                <w:ilvl w:val="0"/>
                <w:numId w:val="6"/>
              </w:numPr>
            </w:pPr>
            <w:r>
              <w:t xml:space="preserve">Marshall Ganz, </w:t>
            </w:r>
            <w:hyperlink r:id="rId16">
              <w:r>
                <w:rPr>
                  <w:color w:val="1155CC"/>
                  <w:u w:val="single"/>
                </w:rPr>
                <w:t>Public Narrative, Collective Action, and Power</w:t>
              </w:r>
            </w:hyperlink>
          </w:p>
        </w:tc>
      </w:tr>
      <w:tr w:rsidR="00097DD6" w:rsidTr="00CF5DF5">
        <w:trPr>
          <w:trHeight w:val="100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jc w:val="center"/>
              <w:rPr>
                <w:color w:val="000000"/>
              </w:rPr>
            </w:pPr>
            <w:r>
              <w:t>2/15</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r>
              <w:t xml:space="preserve">The Danger of a Single </w:t>
            </w:r>
            <w:r>
              <w:t xml:space="preserve">Story </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numPr>
                <w:ilvl w:val="0"/>
                <w:numId w:val="3"/>
              </w:numPr>
            </w:pPr>
            <w:r>
              <w:t xml:space="preserve">Robert P. Jones, </w:t>
            </w:r>
            <w:hyperlink r:id="rId17">
              <w:r>
                <w:rPr>
                  <w:i/>
                  <w:color w:val="1155CC"/>
                  <w:u w:val="single"/>
                </w:rPr>
                <w:t>The Hidden Roots of White Supremacy</w:t>
              </w:r>
            </w:hyperlink>
            <w:hyperlink r:id="rId18">
              <w:r>
                <w:rPr>
                  <w:color w:val="1155CC"/>
                  <w:u w:val="single"/>
                </w:rPr>
                <w:t xml:space="preserve"> (2023), Prologue: Before America</w:t>
              </w:r>
            </w:hyperlink>
          </w:p>
          <w:p w:rsidR="00097DD6" w:rsidRDefault="0087460A">
            <w:pPr>
              <w:numPr>
                <w:ilvl w:val="0"/>
                <w:numId w:val="3"/>
              </w:numPr>
            </w:pPr>
            <w:r>
              <w:rPr>
                <w:i/>
              </w:rPr>
              <w:t>My Neighbor’s Faith</w:t>
            </w:r>
            <w:r>
              <w:t>, pp. 3-41</w:t>
            </w:r>
          </w:p>
          <w:p w:rsidR="00097DD6" w:rsidRDefault="0087460A">
            <w:pPr>
              <w:numPr>
                <w:ilvl w:val="0"/>
                <w:numId w:val="3"/>
              </w:numPr>
            </w:pPr>
            <w:r>
              <w:t>Simran Jeet Singh,</w:t>
            </w:r>
            <w:r>
              <w:rPr>
                <w:i/>
              </w:rPr>
              <w:t xml:space="preserve"> The Light We Giv</w:t>
            </w:r>
            <w:r>
              <w:t>e (2023), pp. xi-68</w:t>
            </w:r>
          </w:p>
          <w:p w:rsidR="00097DD6" w:rsidRDefault="00097DD6"/>
          <w:p w:rsidR="00097DD6" w:rsidRDefault="0087460A">
            <w:hyperlink r:id="rId19">
              <w:r>
                <w:rPr>
                  <w:color w:val="1155CC"/>
                  <w:u w:val="single"/>
                </w:rPr>
                <w:t>https://thedecisionlab.com/biases</w:t>
              </w:r>
            </w:hyperlink>
            <w:r>
              <w:t xml:space="preserve"> </w:t>
            </w:r>
          </w:p>
        </w:tc>
      </w:tr>
      <w:tr w:rsidR="00097DD6" w:rsidTr="00CF5DF5">
        <w:trPr>
          <w:trHeight w:val="12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jc w:val="center"/>
              <w:rPr>
                <w:color w:val="000000"/>
              </w:rPr>
            </w:pPr>
            <w:r>
              <w:t>2/22</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r>
              <w:t xml:space="preserve">What is Pluralism? </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097DD6"/>
          <w:p w:rsidR="00097DD6" w:rsidRDefault="0087460A">
            <w:pPr>
              <w:numPr>
                <w:ilvl w:val="0"/>
                <w:numId w:val="7"/>
              </w:numPr>
            </w:pPr>
            <w:r>
              <w:t xml:space="preserve">Robert Putnam, </w:t>
            </w:r>
            <w:hyperlink r:id="rId20">
              <w:r>
                <w:rPr>
                  <w:color w:val="1155CC"/>
                  <w:u w:val="single"/>
                </w:rPr>
                <w:t>E Pluribus Unum: Diversity and Community in the Twenty-first Century</w:t>
              </w:r>
            </w:hyperlink>
            <w:r>
              <w:t xml:space="preserve"> (2007)</w:t>
            </w:r>
          </w:p>
          <w:p w:rsidR="00097DD6" w:rsidRDefault="0087460A">
            <w:pPr>
              <w:numPr>
                <w:ilvl w:val="0"/>
                <w:numId w:val="7"/>
              </w:numPr>
            </w:pPr>
            <w:r>
              <w:t xml:space="preserve">Abraham Joshua Heschel, </w:t>
            </w:r>
            <w:hyperlink r:id="rId21">
              <w:r>
                <w:rPr>
                  <w:color w:val="1155CC"/>
                  <w:u w:val="single"/>
                </w:rPr>
                <w:t>No Religion is an Island</w:t>
              </w:r>
            </w:hyperlink>
            <w:r>
              <w:t xml:space="preserve"> (1991)</w:t>
            </w:r>
          </w:p>
          <w:p w:rsidR="00097DD6" w:rsidRDefault="0087460A">
            <w:pPr>
              <w:numPr>
                <w:ilvl w:val="0"/>
                <w:numId w:val="13"/>
              </w:numPr>
            </w:pPr>
            <w:r>
              <w:rPr>
                <w:i/>
              </w:rPr>
              <w:t>Interfaith Leadership</w:t>
            </w:r>
            <w:r>
              <w:t xml:space="preserve"> pp.41-6</w:t>
            </w:r>
            <w:r>
              <w:t>6</w:t>
            </w:r>
          </w:p>
          <w:p w:rsidR="00097DD6" w:rsidRDefault="0087460A">
            <w:pPr>
              <w:numPr>
                <w:ilvl w:val="0"/>
                <w:numId w:val="13"/>
              </w:numPr>
            </w:pPr>
            <w:hyperlink r:id="rId22">
              <w:r>
                <w:rPr>
                  <w:color w:val="1155CC"/>
                  <w:u w:val="single"/>
                </w:rPr>
                <w:t>Beloved Community</w:t>
              </w:r>
            </w:hyperlink>
          </w:p>
          <w:p w:rsidR="00097DD6" w:rsidRDefault="00097DD6">
            <w:pPr>
              <w:rPr>
                <w:i/>
              </w:rPr>
            </w:pPr>
          </w:p>
          <w:p w:rsidR="00097DD6" w:rsidRDefault="0087460A">
            <w:pPr>
              <w:rPr>
                <w:b/>
              </w:rPr>
            </w:pPr>
            <w:r>
              <w:rPr>
                <w:b/>
              </w:rPr>
              <w:t>Due: Story of Faith</w:t>
            </w:r>
          </w:p>
        </w:tc>
      </w:tr>
      <w:tr w:rsidR="00097DD6" w:rsidTr="00CF5DF5">
        <w:trPr>
          <w:trHeight w:val="67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jc w:val="center"/>
              <w:rPr>
                <w:color w:val="000000"/>
              </w:rPr>
            </w:pPr>
            <w:r>
              <w:t>2/29</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pPr>
            <w:r>
              <w:rPr>
                <w:highlight w:val="white"/>
              </w:rPr>
              <w:t xml:space="preserve">The Nature of Prejudice </w:t>
            </w:r>
          </w:p>
          <w:p w:rsidR="00097DD6" w:rsidRDefault="00097DD6"/>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numPr>
                <w:ilvl w:val="0"/>
                <w:numId w:val="1"/>
              </w:numPr>
              <w:rPr>
                <w:highlight w:val="white"/>
              </w:rPr>
            </w:pPr>
            <w:hyperlink r:id="rId23">
              <w:r>
                <w:rPr>
                  <w:color w:val="1155CC"/>
                  <w:highlight w:val="white"/>
                  <w:u w:val="single"/>
                </w:rPr>
                <w:t>Intergroup Contact Theory: Past, Present, and Future</w:t>
              </w:r>
            </w:hyperlink>
          </w:p>
          <w:p w:rsidR="00097DD6" w:rsidRDefault="0087460A">
            <w:pPr>
              <w:numPr>
                <w:ilvl w:val="0"/>
                <w:numId w:val="1"/>
              </w:numPr>
              <w:rPr>
                <w:highlight w:val="white"/>
              </w:rPr>
            </w:pPr>
            <w:r>
              <w:rPr>
                <w:i/>
                <w:highlight w:val="white"/>
              </w:rPr>
              <w:t>My Neighbor’s Faith</w:t>
            </w:r>
            <w:r>
              <w:rPr>
                <w:highlight w:val="white"/>
              </w:rPr>
              <w:t>, pp. 43-77</w:t>
            </w:r>
          </w:p>
          <w:p w:rsidR="00097DD6" w:rsidRDefault="0087460A">
            <w:pPr>
              <w:numPr>
                <w:ilvl w:val="0"/>
                <w:numId w:val="1"/>
              </w:numPr>
              <w:rPr>
                <w:highlight w:val="white"/>
              </w:rPr>
            </w:pPr>
            <w:r>
              <w:rPr>
                <w:highlight w:val="white"/>
              </w:rPr>
              <w:t>Case Study</w:t>
            </w:r>
          </w:p>
        </w:tc>
      </w:tr>
      <w:tr w:rsidR="00097DD6" w:rsidTr="00CF5DF5">
        <w:trPr>
          <w:trHeight w:val="91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jc w:val="center"/>
              <w:rPr>
                <w:color w:val="000000"/>
              </w:rPr>
            </w:pPr>
            <w:r>
              <w:t>3/7</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r>
              <w:t xml:space="preserve">What is Faith? </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numPr>
                <w:ilvl w:val="0"/>
                <w:numId w:val="14"/>
              </w:numPr>
            </w:pPr>
            <w:r>
              <w:rPr>
                <w:i/>
              </w:rPr>
              <w:t>Interfaith Leadership</w:t>
            </w:r>
            <w:r>
              <w:t xml:space="preserve"> pp.67-86</w:t>
            </w:r>
          </w:p>
          <w:p w:rsidR="00097DD6" w:rsidRDefault="0087460A">
            <w:pPr>
              <w:numPr>
                <w:ilvl w:val="0"/>
                <w:numId w:val="14"/>
              </w:numPr>
              <w:rPr>
                <w:i/>
              </w:rPr>
            </w:pPr>
            <w:r>
              <w:rPr>
                <w:i/>
              </w:rPr>
              <w:t xml:space="preserve">My Neighbor’s Faith, </w:t>
            </w:r>
            <w:r>
              <w:t>pp. 79-124</w:t>
            </w:r>
          </w:p>
          <w:p w:rsidR="00097DD6" w:rsidRDefault="0087460A">
            <w:pPr>
              <w:numPr>
                <w:ilvl w:val="0"/>
                <w:numId w:val="14"/>
              </w:numPr>
            </w:pPr>
            <w:r>
              <w:t xml:space="preserve">Ariel Ennis, </w:t>
            </w:r>
            <w:r>
              <w:rPr>
                <w:i/>
              </w:rPr>
              <w:t>Teaching Religious Literacy (2017),</w:t>
            </w:r>
            <w:r>
              <w:t xml:space="preserve"> Ch. 1-2</w:t>
            </w:r>
          </w:p>
          <w:p w:rsidR="00097DD6" w:rsidRDefault="00097DD6"/>
        </w:tc>
      </w:tr>
      <w:tr w:rsidR="00097DD6" w:rsidTr="00CF5DF5">
        <w:trPr>
          <w:trHeight w:val="2051"/>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jc w:val="center"/>
              <w:rPr>
                <w:color w:val="000000"/>
              </w:rPr>
            </w:pPr>
            <w:r>
              <w:t>3/14</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r>
              <w:t xml:space="preserve">Interfaith Theologies </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numPr>
                <w:ilvl w:val="0"/>
                <w:numId w:val="9"/>
              </w:numPr>
            </w:pPr>
            <w:r>
              <w:rPr>
                <w:i/>
              </w:rPr>
              <w:t>Interfaith Leadership</w:t>
            </w:r>
            <w:r>
              <w:t xml:space="preserve"> pp.109-132</w:t>
            </w:r>
          </w:p>
          <w:p w:rsidR="00097DD6" w:rsidRDefault="0087460A">
            <w:pPr>
              <w:numPr>
                <w:ilvl w:val="0"/>
                <w:numId w:val="9"/>
              </w:numPr>
            </w:pPr>
            <w:r>
              <w:t xml:space="preserve">bell hooks, </w:t>
            </w:r>
            <w:r>
              <w:rPr>
                <w:i/>
              </w:rPr>
              <w:t>All About Love</w:t>
            </w:r>
            <w:r>
              <w:t xml:space="preserve"> (1999), pp.71-83</w:t>
            </w:r>
          </w:p>
          <w:p w:rsidR="00097DD6" w:rsidRDefault="0087460A">
            <w:pPr>
              <w:numPr>
                <w:ilvl w:val="0"/>
                <w:numId w:val="9"/>
              </w:numPr>
            </w:pPr>
            <w:r>
              <w:t xml:space="preserve">Shawn Copeland (2022) </w:t>
            </w:r>
            <w:hyperlink r:id="rId24">
              <w:r>
                <w:rPr>
                  <w:color w:val="1155CC"/>
                  <w:u w:val="single"/>
                </w:rPr>
                <w:t xml:space="preserve">#BlackLivesMatter As Public Theology </w:t>
              </w:r>
            </w:hyperlink>
          </w:p>
          <w:p w:rsidR="00097DD6" w:rsidRDefault="0087460A">
            <w:pPr>
              <w:numPr>
                <w:ilvl w:val="0"/>
                <w:numId w:val="9"/>
              </w:numPr>
            </w:pPr>
            <w:hyperlink r:id="rId25">
              <w:r>
                <w:rPr>
                  <w:color w:val="1155CC"/>
                  <w:u w:val="single"/>
                </w:rPr>
                <w:t>Identifying a Theology or Ethic of Interfaith Cooperation</w:t>
              </w:r>
            </w:hyperlink>
          </w:p>
        </w:tc>
      </w:tr>
      <w:tr w:rsidR="00097DD6" w:rsidTr="00CF5DF5">
        <w:trPr>
          <w:trHeight w:val="78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jc w:val="center"/>
              <w:rPr>
                <w:b/>
                <w:color w:val="000000"/>
              </w:rPr>
            </w:pPr>
            <w:r>
              <w:rPr>
                <w:b/>
              </w:rPr>
              <w:t>3/21</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rPr>
                <w:b/>
                <w:i/>
              </w:rPr>
            </w:pPr>
            <w:r>
              <w:rPr>
                <w:b/>
                <w:i/>
              </w:rPr>
              <w:t>Spring Break</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rPr>
                <w:b/>
                <w:i/>
              </w:rPr>
            </w:pPr>
            <w:r>
              <w:rPr>
                <w:b/>
                <w:i/>
              </w:rPr>
              <w:t>Spring Break</w:t>
            </w:r>
          </w:p>
        </w:tc>
      </w:tr>
      <w:tr w:rsidR="00097DD6" w:rsidTr="00CF5DF5">
        <w:trPr>
          <w:trHeight w:val="58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jc w:val="center"/>
              <w:rPr>
                <w:color w:val="000000"/>
                <w:highlight w:val="white"/>
              </w:rPr>
            </w:pPr>
            <w:r>
              <w:rPr>
                <w:highlight w:val="white"/>
              </w:rPr>
              <w:lastRenderedPageBreak/>
              <w:t>3/28</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rPr>
                <w:highlight w:val="white"/>
              </w:rPr>
            </w:pPr>
            <w:r>
              <w:t>Story of Us</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numPr>
                <w:ilvl w:val="0"/>
                <w:numId w:val="5"/>
              </w:numPr>
              <w:spacing w:line="276" w:lineRule="auto"/>
            </w:pPr>
            <w:hyperlink r:id="rId26">
              <w:r>
                <w:rPr>
                  <w:color w:val="1155CC"/>
                  <w:u w:val="single"/>
                </w:rPr>
                <w:t xml:space="preserve">If faith leaders want to reach Gen Z, meet them in the streets </w:t>
              </w:r>
            </w:hyperlink>
          </w:p>
          <w:p w:rsidR="00097DD6" w:rsidRDefault="0087460A">
            <w:pPr>
              <w:numPr>
                <w:ilvl w:val="0"/>
                <w:numId w:val="1"/>
              </w:numPr>
              <w:spacing w:line="276" w:lineRule="auto"/>
            </w:pPr>
            <w:hyperlink r:id="rId27">
              <w:r>
                <w:rPr>
                  <w:color w:val="1155CC"/>
                  <w:u w:val="single"/>
                </w:rPr>
                <w:t>What Churches Offer That ‘</w:t>
              </w:r>
              <w:proofErr w:type="spellStart"/>
              <w:r>
                <w:rPr>
                  <w:color w:val="1155CC"/>
                  <w:u w:val="single"/>
                </w:rPr>
                <w:t>Nones</w:t>
              </w:r>
              <w:proofErr w:type="spellEnd"/>
              <w:r>
                <w:rPr>
                  <w:color w:val="1155CC"/>
                  <w:u w:val="single"/>
                </w:rPr>
                <w:t>’ Still Long For</w:t>
              </w:r>
            </w:hyperlink>
          </w:p>
          <w:p w:rsidR="00097DD6" w:rsidRDefault="0087460A">
            <w:pPr>
              <w:numPr>
                <w:ilvl w:val="0"/>
                <w:numId w:val="1"/>
              </w:numPr>
            </w:pPr>
            <w:r>
              <w:rPr>
                <w:i/>
              </w:rPr>
              <w:t>My Neighbor’s Faith</w:t>
            </w:r>
            <w:r>
              <w:t>, pp. 125-162</w:t>
            </w:r>
          </w:p>
          <w:p w:rsidR="00097DD6" w:rsidRDefault="00097DD6"/>
          <w:p w:rsidR="00097DD6" w:rsidRDefault="0087460A">
            <w:r>
              <w:t>Guest Speaker: Chris Woods</w:t>
            </w:r>
            <w:r>
              <w:t>, Senior Director of Inclusive Policy and Director of the NYU LGBTQ+ Center</w:t>
            </w:r>
          </w:p>
          <w:p w:rsidR="00097DD6" w:rsidRDefault="00097DD6">
            <w:pPr>
              <w:spacing w:line="276" w:lineRule="auto"/>
              <w:ind w:left="720"/>
            </w:pPr>
          </w:p>
          <w:p w:rsidR="00097DD6" w:rsidRDefault="0087460A">
            <w:pPr>
              <w:rPr>
                <w:b/>
                <w:highlight w:val="white"/>
              </w:rPr>
            </w:pPr>
            <w:r>
              <w:rPr>
                <w:b/>
              </w:rPr>
              <w:t>Due: Spiritual Ethnography 3/31</w:t>
            </w:r>
          </w:p>
        </w:tc>
      </w:tr>
      <w:tr w:rsidR="00097DD6" w:rsidTr="00CF5DF5">
        <w:trPr>
          <w:trHeight w:val="64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jc w:val="center"/>
              <w:rPr>
                <w:color w:val="000000"/>
              </w:rPr>
            </w:pPr>
            <w:r>
              <w:t>4/4</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pPr>
            <w:r>
              <w:t>Ritual &amp; Leadership</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numPr>
                <w:ilvl w:val="0"/>
                <w:numId w:val="12"/>
              </w:numPr>
              <w:rPr>
                <w:i/>
              </w:rPr>
            </w:pPr>
            <w:r>
              <w:t xml:space="preserve">Casper </w:t>
            </w:r>
            <w:proofErr w:type="spellStart"/>
            <w:r>
              <w:t>ter</w:t>
            </w:r>
            <w:proofErr w:type="spellEnd"/>
            <w:r>
              <w:t xml:space="preserve"> </w:t>
            </w:r>
            <w:proofErr w:type="spellStart"/>
            <w:r>
              <w:t>Kuile</w:t>
            </w:r>
            <w:proofErr w:type="spellEnd"/>
            <w:r>
              <w:t>,</w:t>
            </w:r>
            <w:r>
              <w:rPr>
                <w:i/>
              </w:rPr>
              <w:t xml:space="preserve"> The Power of Ritual </w:t>
            </w:r>
            <w:r>
              <w:t>(2021),</w:t>
            </w:r>
            <w:r>
              <w:rPr>
                <w:i/>
              </w:rPr>
              <w:t xml:space="preserve"> </w:t>
            </w:r>
            <w:r>
              <w:t xml:space="preserve">readings </w:t>
            </w:r>
            <w:proofErr w:type="spellStart"/>
            <w:r>
              <w:t>tbd</w:t>
            </w:r>
            <w:proofErr w:type="spellEnd"/>
          </w:p>
          <w:p w:rsidR="00097DD6" w:rsidRDefault="0087460A">
            <w:pPr>
              <w:numPr>
                <w:ilvl w:val="0"/>
                <w:numId w:val="12"/>
              </w:numPr>
              <w:spacing w:line="276" w:lineRule="auto"/>
            </w:pPr>
            <w:r>
              <w:rPr>
                <w:i/>
              </w:rPr>
              <w:t>My Neighbor’s Faith</w:t>
            </w:r>
            <w:r>
              <w:t>, pp. 163-203</w:t>
            </w:r>
          </w:p>
        </w:tc>
      </w:tr>
      <w:tr w:rsidR="00097DD6" w:rsidTr="00CF5DF5">
        <w:trPr>
          <w:trHeight w:val="3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jc w:val="center"/>
              <w:rPr>
                <w:color w:val="000000"/>
              </w:rPr>
            </w:pPr>
            <w:r>
              <w:t>4/11</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pPr>
            <w:r>
              <w:t xml:space="preserve">What is your Work? </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numPr>
                <w:ilvl w:val="0"/>
                <w:numId w:val="10"/>
              </w:numPr>
            </w:pPr>
            <w:r>
              <w:rPr>
                <w:i/>
              </w:rPr>
              <w:t xml:space="preserve">The Light We Give, </w:t>
            </w:r>
            <w:r>
              <w:t xml:space="preserve">readings </w:t>
            </w:r>
            <w:proofErr w:type="spellStart"/>
            <w:r>
              <w:t>tbd</w:t>
            </w:r>
            <w:proofErr w:type="spellEnd"/>
            <w:r>
              <w:t xml:space="preserve"> </w:t>
            </w:r>
          </w:p>
          <w:p w:rsidR="00097DD6" w:rsidRDefault="0087460A">
            <w:pPr>
              <w:numPr>
                <w:ilvl w:val="0"/>
                <w:numId w:val="10"/>
              </w:numPr>
              <w:rPr>
                <w:i/>
              </w:rPr>
            </w:pPr>
            <w:r>
              <w:rPr>
                <w:i/>
              </w:rPr>
              <w:t xml:space="preserve">My Neighbor’s Faith, </w:t>
            </w:r>
            <w:r>
              <w:t>pp. 205-240</w:t>
            </w:r>
          </w:p>
          <w:p w:rsidR="00097DD6" w:rsidRDefault="00097DD6">
            <w:pPr>
              <w:rPr>
                <w:b/>
              </w:rPr>
            </w:pPr>
          </w:p>
          <w:p w:rsidR="00097DD6" w:rsidRDefault="0087460A">
            <w:r>
              <w:rPr>
                <w:b/>
              </w:rPr>
              <w:t xml:space="preserve">Due: Interfaith Theology/Ethic </w:t>
            </w:r>
          </w:p>
        </w:tc>
      </w:tr>
      <w:tr w:rsidR="00097DD6" w:rsidTr="00CF5DF5">
        <w:trPr>
          <w:trHeight w:val="705"/>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jc w:val="center"/>
              <w:rPr>
                <w:color w:val="222222"/>
              </w:rPr>
            </w:pPr>
            <w:r>
              <w:rPr>
                <w:color w:val="222222"/>
              </w:rPr>
              <w:t>4/18</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pPr>
            <w:r>
              <w:t>Community Organizing as Multifaith Leadership</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numPr>
                <w:ilvl w:val="0"/>
                <w:numId w:val="8"/>
              </w:numPr>
            </w:pPr>
            <w:r>
              <w:rPr>
                <w:i/>
              </w:rPr>
              <w:t>Interfaith Leadership</w:t>
            </w:r>
            <w:r>
              <w:t xml:space="preserve"> 135-170</w:t>
            </w:r>
          </w:p>
          <w:p w:rsidR="00097DD6" w:rsidRDefault="0087460A">
            <w:pPr>
              <w:numPr>
                <w:ilvl w:val="0"/>
                <w:numId w:val="8"/>
              </w:numPr>
              <w:rPr>
                <w:i/>
              </w:rPr>
            </w:pPr>
            <w:r>
              <w:rPr>
                <w:i/>
              </w:rPr>
              <w:t xml:space="preserve">My Neighbor’s Faith, </w:t>
            </w:r>
            <w:r>
              <w:t>pp. 241-266</w:t>
            </w:r>
          </w:p>
          <w:p w:rsidR="00097DD6" w:rsidRDefault="0087460A">
            <w:pPr>
              <w:numPr>
                <w:ilvl w:val="0"/>
                <w:numId w:val="8"/>
              </w:numPr>
            </w:pPr>
            <w:r>
              <w:t xml:space="preserve">Martin Luther King, Jr., </w:t>
            </w:r>
            <w:hyperlink r:id="rId28">
              <w:r>
                <w:rPr>
                  <w:color w:val="1155CC"/>
                  <w:u w:val="single"/>
                </w:rPr>
                <w:t>Letter from a Birmingham Jail</w:t>
              </w:r>
            </w:hyperlink>
          </w:p>
        </w:tc>
      </w:tr>
      <w:tr w:rsidR="00097DD6" w:rsidTr="00CF5DF5">
        <w:trPr>
          <w:trHeight w:val="5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jc w:val="center"/>
              <w:rPr>
                <w:color w:val="000000"/>
              </w:rPr>
            </w:pPr>
            <w:r>
              <w:t>4/25</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rPr>
                <w:highlight w:val="white"/>
              </w:rPr>
            </w:pPr>
            <w:r>
              <w:rPr>
                <w:highlight w:val="white"/>
              </w:rPr>
              <w:t>Story of Now</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276" w:lineRule="auto"/>
              <w:ind w:left="720"/>
              <w:rPr>
                <w:szCs w:val="24"/>
              </w:rPr>
            </w:pPr>
            <w:bookmarkStart w:id="12" w:name="_heading=h.9w77lzsqwbui" w:colFirst="0" w:colLast="0"/>
            <w:bookmarkEnd w:id="12"/>
            <w:r>
              <w:rPr>
                <w:szCs w:val="24"/>
              </w:rPr>
              <w:t>Final Presentations</w:t>
            </w:r>
          </w:p>
        </w:tc>
      </w:tr>
      <w:tr w:rsidR="00097DD6" w:rsidTr="00CF5DF5">
        <w:trPr>
          <w:trHeight w:val="310"/>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jc w:val="center"/>
              <w:rPr>
                <w:color w:val="000000"/>
              </w:rPr>
            </w:pPr>
            <w:r>
              <w:t>5/2</w:t>
            </w:r>
          </w:p>
        </w:tc>
        <w:tc>
          <w:tcPr>
            <w:tcW w:w="2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rPr>
                <w:highlight w:val="white"/>
              </w:rPr>
            </w:pPr>
            <w:r>
              <w:rPr>
                <w:highlight w:val="white"/>
              </w:rPr>
              <w:t>Closing</w:t>
            </w:r>
          </w:p>
        </w:tc>
        <w:tc>
          <w:tcPr>
            <w:tcW w:w="55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097DD6" w:rsidRDefault="0087460A">
            <w:pPr>
              <w:widowControl w:val="0"/>
              <w:ind w:left="720"/>
              <w:rPr>
                <w:b/>
              </w:rPr>
            </w:pPr>
            <w:r>
              <w:rPr>
                <w:b/>
              </w:rPr>
              <w:t xml:space="preserve">Final Presentations </w:t>
            </w:r>
          </w:p>
          <w:p w:rsidR="00097DD6" w:rsidRDefault="00097DD6">
            <w:pPr>
              <w:widowControl w:val="0"/>
              <w:ind w:left="720"/>
              <w:rPr>
                <w:b/>
              </w:rPr>
            </w:pPr>
          </w:p>
        </w:tc>
      </w:tr>
    </w:tbl>
    <w:p w:rsidR="00097DD6" w:rsidRDefault="00097DD6">
      <w:pPr>
        <w:shd w:val="clear" w:color="auto" w:fill="FFFFFF"/>
        <w:rPr>
          <w:b/>
        </w:rPr>
      </w:pPr>
    </w:p>
    <w:sectPr w:rsidR="00097DD6">
      <w:headerReference w:type="default" r:id="rId29"/>
      <w:footerReference w:type="default" r:id="rId30"/>
      <w:footerReference w:type="first" r:id="rId31"/>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60A" w:rsidRDefault="0087460A">
      <w:r>
        <w:separator/>
      </w:r>
    </w:p>
  </w:endnote>
  <w:endnote w:type="continuationSeparator" w:id="0">
    <w:p w:rsidR="0087460A" w:rsidRDefault="0087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DD6" w:rsidRDefault="0087460A">
    <w:pPr>
      <w:pBdr>
        <w:top w:val="nil"/>
        <w:left w:val="nil"/>
        <w:bottom w:val="nil"/>
        <w:right w:val="nil"/>
        <w:between w:val="nil"/>
      </w:pBdr>
      <w:tabs>
        <w:tab w:val="right" w:pos="9020"/>
      </w:tabs>
      <w:jc w:val="right"/>
      <w:rPr>
        <w:rFonts w:ascii="Helvetica Neue" w:eastAsia="Helvetica Neue" w:hAnsi="Helvetica Neue" w:cs="Helvetica Neue"/>
        <w:color w:val="000000"/>
      </w:rPr>
    </w:pPr>
    <w:r>
      <w:fldChar w:fldCharType="begin"/>
    </w:r>
    <w:r>
      <w:instrText>PAGE</w:instrText>
    </w:r>
    <w:r w:rsidR="00CF5DF5">
      <w:fldChar w:fldCharType="separate"/>
    </w:r>
    <w:r w:rsidR="00CF5DF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DD6" w:rsidRDefault="0087460A">
    <w:pPr>
      <w:jc w:val="right"/>
    </w:pPr>
    <w:r>
      <w:fldChar w:fldCharType="begin"/>
    </w:r>
    <w:r>
      <w:instrText>PAGE</w:instrText>
    </w:r>
    <w:r w:rsidR="00CF5DF5">
      <w:fldChar w:fldCharType="separate"/>
    </w:r>
    <w:r w:rsidR="00CF5DF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60A" w:rsidRDefault="0087460A">
      <w:r>
        <w:separator/>
      </w:r>
    </w:p>
  </w:footnote>
  <w:footnote w:type="continuationSeparator" w:id="0">
    <w:p w:rsidR="0087460A" w:rsidRDefault="0087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DD6" w:rsidRDefault="00097DD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7367"/>
    <w:multiLevelType w:val="multilevel"/>
    <w:tmpl w:val="273C7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A15814"/>
    <w:multiLevelType w:val="multilevel"/>
    <w:tmpl w:val="66040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3744C2"/>
    <w:multiLevelType w:val="multilevel"/>
    <w:tmpl w:val="2C3EA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EF607B"/>
    <w:multiLevelType w:val="multilevel"/>
    <w:tmpl w:val="57026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D55B2A"/>
    <w:multiLevelType w:val="multilevel"/>
    <w:tmpl w:val="24A89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BD4A55"/>
    <w:multiLevelType w:val="multilevel"/>
    <w:tmpl w:val="AE3A5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0F1DD6"/>
    <w:multiLevelType w:val="multilevel"/>
    <w:tmpl w:val="91ACF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A14426"/>
    <w:multiLevelType w:val="multilevel"/>
    <w:tmpl w:val="5CC2E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C6489B"/>
    <w:multiLevelType w:val="multilevel"/>
    <w:tmpl w:val="6BFC1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34527D"/>
    <w:multiLevelType w:val="multilevel"/>
    <w:tmpl w:val="B4C0D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C82527"/>
    <w:multiLevelType w:val="multilevel"/>
    <w:tmpl w:val="06100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4A3358"/>
    <w:multiLevelType w:val="multilevel"/>
    <w:tmpl w:val="F6141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FE0B1B"/>
    <w:multiLevelType w:val="multilevel"/>
    <w:tmpl w:val="76D65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2D5D62"/>
    <w:multiLevelType w:val="multilevel"/>
    <w:tmpl w:val="6FFC7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9"/>
  </w:num>
  <w:num w:numId="4">
    <w:abstractNumId w:val="8"/>
  </w:num>
  <w:num w:numId="5">
    <w:abstractNumId w:val="0"/>
  </w:num>
  <w:num w:numId="6">
    <w:abstractNumId w:val="3"/>
  </w:num>
  <w:num w:numId="7">
    <w:abstractNumId w:val="4"/>
  </w:num>
  <w:num w:numId="8">
    <w:abstractNumId w:val="13"/>
  </w:num>
  <w:num w:numId="9">
    <w:abstractNumId w:val="11"/>
  </w:num>
  <w:num w:numId="10">
    <w:abstractNumId w:val="2"/>
  </w:num>
  <w:num w:numId="11">
    <w:abstractNumId w:val="10"/>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D6"/>
    <w:rsid w:val="00097DD6"/>
    <w:rsid w:val="0087460A"/>
    <w:rsid w:val="00B73F42"/>
    <w:rsid w:val="00CF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4A108"/>
  <w15:docId w15:val="{34DE4355-DC9A-49C0-86BC-6F435594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CF5DF5"/>
    <w:pPr>
      <w:keepNext/>
      <w:keepLines/>
      <w:spacing w:before="480" w:after="120"/>
      <w:outlineLvl w:val="0"/>
    </w:pPr>
    <w:rPr>
      <w:b/>
      <w:szCs w:val="48"/>
    </w:rPr>
  </w:style>
  <w:style w:type="paragraph" w:styleId="Heading2">
    <w:name w:val="heading 2"/>
    <w:basedOn w:val="Normal"/>
    <w:next w:val="Normal"/>
    <w:uiPriority w:val="9"/>
    <w:unhideWhenUsed/>
    <w:qFormat/>
    <w:rsid w:val="00CF5DF5"/>
    <w:pPr>
      <w:keepNext/>
      <w:keepLines/>
      <w:spacing w:before="360" w:after="80"/>
      <w:outlineLvl w:val="1"/>
    </w:pPr>
    <w:rPr>
      <w:b/>
      <w:i/>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hbr.org/2001/12/what-leaders-really-do" TargetMode="External"/><Relationship Id="rId18" Type="http://schemas.openxmlformats.org/officeDocument/2006/relationships/hyperlink" Target="https://web-p-ebscohost-com.proxy.library.nyu.edu/ehost/ebookviewer/ebook?sid=77d88dce-4863-431a-a497-22171f82d294%40redis&amp;vid=0&amp;format=EK" TargetMode="External"/><Relationship Id="rId26" Type="http://schemas.openxmlformats.org/officeDocument/2006/relationships/hyperlink" Target="https://religionnews.com/2021/10/21/if-faith-leaders-want-to-reach-gen-z-meet-them-in-the-streets/" TargetMode="External"/><Relationship Id="rId3" Type="http://schemas.openxmlformats.org/officeDocument/2006/relationships/styles" Target="styles.xml"/><Relationship Id="rId21" Type="http://schemas.openxmlformats.org/officeDocument/2006/relationships/hyperlink" Target="https://utsnyc.edu/wp-content/uploads/Heschels-No-Religion-is-an-Island.pdf" TargetMode="External"/><Relationship Id="rId7" Type="http://schemas.openxmlformats.org/officeDocument/2006/relationships/endnotes" Target="endnotes.xml"/><Relationship Id="rId12" Type="http://schemas.openxmlformats.org/officeDocument/2006/relationships/hyperlink" Target="https://www.nyu.edu/content/nyu/en/students/health-and-wellness/services/counseling-services/counseling/urgent-counseling.html" TargetMode="External"/><Relationship Id="rId17" Type="http://schemas.openxmlformats.org/officeDocument/2006/relationships/hyperlink" Target="https://web-p-ebscohost-com.proxy.library.nyu.edu/ehost/ebookviewer/ebook?sid=77d88dce-4863-431a-a497-22171f82d294%40redis&amp;vid=0&amp;format=EK" TargetMode="External"/><Relationship Id="rId25" Type="http://schemas.openxmlformats.org/officeDocument/2006/relationships/hyperlink" Target="https://www.interfaithamerica.org/resources/identifying-theology-or-ethi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rshallganz.usmblogs.com/files/2012/08/Public-Narrative-Collective-Action-and-Power.pdf" TargetMode="External"/><Relationship Id="rId20" Type="http://schemas.openxmlformats.org/officeDocument/2006/relationships/hyperlink" Target="https://www.puttingourdifferencestowork.com/pdf/j.1467-9477.2007.00176%20Putnam%20Diversity.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u.edu/content/nyu/en/students/health-and-wellness/services/counseling-services/counseling.html" TargetMode="External"/><Relationship Id="rId24" Type="http://schemas.openxmlformats.org/officeDocument/2006/relationships/hyperlink" Target="https://www.youtube.com/watch?v=pylZZpLVRr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ash.harvard.edu/bitstream/handle/1/30760283/Public-Narrative-Worksheet-Fall-2013-.pdf" TargetMode="External"/><Relationship Id="rId23" Type="http://schemas.openxmlformats.org/officeDocument/2006/relationships/hyperlink" Target="https://tedcantle.co.uk/wp-content/uploads/2013/03/092-Intergroup-contact-theory-explained-Everett-J-2013.pdf" TargetMode="External"/><Relationship Id="rId28" Type="http://schemas.openxmlformats.org/officeDocument/2006/relationships/hyperlink" Target="https://www.csuchico.edu/iege/_assets/documents/susi-letter-from-birmingham-jail.pdf" TargetMode="External"/><Relationship Id="rId10" Type="http://schemas.openxmlformats.org/officeDocument/2006/relationships/hyperlink" Target="https://www.nyu.edu/about/policies-guidelines-compliance/policies-and-guidelines/university-calendar-policy-on-religious-holidays.html" TargetMode="External"/><Relationship Id="rId19" Type="http://schemas.openxmlformats.org/officeDocument/2006/relationships/hyperlink" Target="https://thedecisionlab.com/bias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yu.edu/students/communities-and-groups/students-with-disabilities.html" TargetMode="External"/><Relationship Id="rId14" Type="http://schemas.openxmlformats.org/officeDocument/2006/relationships/hyperlink" Target="https://www.artsrn.ualberta.ca/symposium/files/original/8ce9575105e6c32982faef20f10e07d4.PDF" TargetMode="External"/><Relationship Id="rId22" Type="http://schemas.openxmlformats.org/officeDocument/2006/relationships/hyperlink" Target="https://thekingcenter.org/about-tkc/the-king-philosophy/" TargetMode="External"/><Relationship Id="rId27" Type="http://schemas.openxmlformats.org/officeDocument/2006/relationships/hyperlink" Target="https://www.nytimes.com/2023/06/28/opinion/religion-affiliation-community.html?smid=nytcore-ios-share&amp;referringSource=articleShare" TargetMode="External"/><Relationship Id="rId30" Type="http://schemas.openxmlformats.org/officeDocument/2006/relationships/footer" Target="footer1.xml"/><Relationship Id="rId8" Type="http://schemas.openxmlformats.org/officeDocument/2006/relationships/hyperlink" Target="mailto:chelsea.garbell@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yTnQcbNkqcUXcdA1uJuIhv3uJw==">CgMxLjAyDmgucjVwa284cmlpbXJxMg5oLmw5MHEzOG1sZ2JhNjIOaC44dTFyNDhudWRyc2syDmguMW13cjFqYmtvbjQyMg5oLmo0MWt5bGpwOWVybjIOaC44a2pjY3piNmZncDMyDmguam1ldmlraWtvaWlkMg5oLnQ0N2gyZm5zZzM2eDIOaC42c256MHp6ZGFjN2oyDmguanZ4N3g0aTFoMTljMg5oLmw2ZDQyOHNoMmh5ODIOaC45dzc3bHpzcXdidWk4AHIhMVdEUVp6VE5tQ2pXaDNNcmF1ZGdHcjBhVWhxcnFNa01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1156</Words>
  <Characters>6240</Characters>
  <Application>Microsoft Office Word</Application>
  <DocSecurity>0</DocSecurity>
  <Lines>201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Destiny Rodriguez</cp:lastModifiedBy>
  <cp:revision>4</cp:revision>
  <dcterms:created xsi:type="dcterms:W3CDTF">2024-03-18T16:54:00Z</dcterms:created>
  <dcterms:modified xsi:type="dcterms:W3CDTF">2024-03-18T17:01:00Z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f9560183b2f878308f6b09a482df6d16ffaaf95e35193cfd878e139f59cb6635</vt:lpwstr>
  </property>
</Properties>
</file>